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等线" w:hAnsi="等线" w:eastAsia="等线" w:cs="等线"/>
          <w:b/>
          <w:color w:val="000000" w:themeColor="text1"/>
          <w:szCs w:val="21"/>
          <w14:textFill>
            <w14:solidFill>
              <w14:schemeClr w14:val="tx1"/>
            </w14:solidFill>
          </w14:textFill>
        </w:rPr>
      </w:pPr>
      <w:r>
        <w:rPr>
          <w:rFonts w:hint="eastAsia" w:ascii="等线" w:hAnsi="等线" w:eastAsia="等线" w:cs="等线"/>
          <w:b/>
          <w:color w:val="000000" w:themeColor="text1"/>
          <w:szCs w:val="21"/>
          <w14:textFill>
            <w14:solidFill>
              <w14:schemeClr w14:val="tx1"/>
            </w14:solidFill>
          </w14:textFill>
        </w:rPr>
        <w:t>增值服务介绍</w:t>
      </w:r>
    </w:p>
    <w:p>
      <w:pPr>
        <w:jc w:val="center"/>
        <w:rPr>
          <w:rFonts w:ascii="等线" w:hAnsi="等线" w:eastAsia="等线" w:cs="等线"/>
          <w:b/>
          <w:color w:val="000000" w:themeColor="text1"/>
          <w:szCs w:val="21"/>
          <w14:textFill>
            <w14:solidFill>
              <w14:schemeClr w14:val="tx1"/>
            </w14:solidFill>
          </w14:textFill>
        </w:rPr>
      </w:pPr>
    </w:p>
    <w:p>
      <w:pPr>
        <w:jc w:val="center"/>
        <w:rPr>
          <w:rFonts w:ascii="等线" w:hAnsi="等线" w:eastAsia="等线" w:cs="等线"/>
          <w:b/>
          <w:color w:val="000000" w:themeColor="text1"/>
          <w:szCs w:val="21"/>
          <w14:textFill>
            <w14:solidFill>
              <w14:schemeClr w14:val="tx1"/>
            </w14:solidFill>
          </w14:textFill>
        </w:rPr>
      </w:pPr>
    </w:p>
    <w:p>
      <w:pPr>
        <w:outlineLvl w:val="0"/>
        <w:rPr>
          <w:rFonts w:ascii="等线" w:hAnsi="等线" w:eastAsia="等线" w:cs="等线"/>
          <w:b/>
          <w:color w:val="000000" w:themeColor="text1"/>
          <w:szCs w:val="21"/>
          <w14:textFill>
            <w14:solidFill>
              <w14:schemeClr w14:val="tx1"/>
            </w14:solidFill>
          </w14:textFill>
        </w:rPr>
      </w:pPr>
      <w:bookmarkStart w:id="0" w:name="_Toc81"/>
      <w:bookmarkStart w:id="1" w:name="_Toc23754"/>
      <w:bookmarkStart w:id="2" w:name="_Toc19471"/>
      <w:bookmarkStart w:id="3" w:name="_Toc14256"/>
      <w:bookmarkStart w:id="4" w:name="_Toc18544"/>
      <w:r>
        <w:rPr>
          <w:rFonts w:hint="eastAsia" w:ascii="等线" w:hAnsi="等线" w:eastAsia="等线" w:cs="等线"/>
          <w:b/>
          <w:color w:val="000000" w:themeColor="text1"/>
          <w:szCs w:val="21"/>
          <w:highlight w:val="yellow"/>
          <w14:textFill>
            <w14:solidFill>
              <w14:schemeClr w14:val="tx1"/>
            </w14:solidFill>
          </w14:textFill>
        </w:rPr>
        <w:t>医疗垫付服务</w:t>
      </w:r>
      <w:bookmarkEnd w:id="0"/>
      <w:bookmarkEnd w:id="1"/>
      <w:bookmarkEnd w:id="2"/>
      <w:bookmarkEnd w:id="3"/>
      <w:bookmarkEnd w:id="4"/>
    </w:p>
    <w:p>
      <w:pPr>
        <w:rPr>
          <w:rFonts w:ascii="等线" w:hAnsi="等线" w:eastAsia="等线" w:cs="等线"/>
          <w:color w:val="000000" w:themeColor="text1"/>
          <w:szCs w:val="21"/>
          <w14:textFill>
            <w14:solidFill>
              <w14:schemeClr w14:val="tx1"/>
            </w14:solidFill>
          </w14:textFill>
        </w:rPr>
      </w:pPr>
      <w:r>
        <w:rPr>
          <w:rFonts w:hint="eastAsia" w:ascii="等线" w:hAnsi="等线" w:eastAsia="等线" w:cs="等线"/>
          <w:color w:val="000000" w:themeColor="text1"/>
          <w:szCs w:val="21"/>
          <w14:textFill>
            <w14:solidFill>
              <w14:schemeClr w14:val="tx1"/>
            </w14:solidFill>
          </w14:textFill>
        </w:rPr>
        <w:t>1、若您在保险期间内等待期后（意外无等待期），在垫付服务覆盖城市中二级及以上的公立医院发生住院，且预估或实际</w:t>
      </w:r>
      <w:r>
        <w:rPr>
          <w:rFonts w:hint="eastAsia" w:ascii="等线" w:hAnsi="等线" w:eastAsia="等线" w:cs="等线"/>
          <w:b/>
          <w:bCs/>
          <w:color w:val="000000" w:themeColor="text1"/>
          <w:szCs w:val="21"/>
          <w:u w:val="single"/>
          <w14:textFill>
            <w14:solidFill>
              <w14:schemeClr w14:val="tx1"/>
            </w14:solidFill>
          </w14:textFill>
        </w:rPr>
        <w:t>需个人</w:t>
      </w:r>
      <w:r>
        <w:rPr>
          <w:rFonts w:ascii="等线" w:hAnsi="等线" w:eastAsia="等线" w:cs="等线"/>
          <w:b/>
          <w:bCs/>
          <w:color w:val="000000" w:themeColor="text1"/>
          <w:szCs w:val="21"/>
          <w:u w:val="single"/>
          <w14:textFill>
            <w14:solidFill>
              <w14:schemeClr w14:val="tx1"/>
            </w14:solidFill>
          </w14:textFill>
        </w:rPr>
        <w:t>承担的</w:t>
      </w:r>
      <w:r>
        <w:rPr>
          <w:rFonts w:hint="eastAsia" w:ascii="等线" w:hAnsi="等线" w:eastAsia="等线" w:cs="等线"/>
          <w:b/>
          <w:bCs/>
          <w:color w:val="000000" w:themeColor="text1"/>
          <w:szCs w:val="21"/>
          <w:u w:val="single"/>
          <w:lang w:val="en-US" w:eastAsia="zh-CN"/>
          <w14:textFill>
            <w14:solidFill>
              <w14:schemeClr w14:val="tx1"/>
            </w14:solidFill>
          </w14:textFill>
        </w:rPr>
        <w:t>住院</w:t>
      </w:r>
      <w:r>
        <w:rPr>
          <w:rFonts w:ascii="等线" w:hAnsi="等线" w:eastAsia="等线" w:cs="等线"/>
          <w:b/>
          <w:bCs/>
          <w:color w:val="000000" w:themeColor="text1"/>
          <w:szCs w:val="21"/>
          <w:u w:val="single"/>
          <w14:textFill>
            <w14:solidFill>
              <w14:schemeClr w14:val="tx1"/>
            </w14:solidFill>
          </w14:textFill>
        </w:rPr>
        <w:t>医疗费用</w:t>
      </w:r>
      <w:r>
        <w:rPr>
          <w:rFonts w:hint="eastAsia" w:ascii="等线" w:hAnsi="等线" w:eastAsia="等线" w:cs="等线"/>
          <w:b/>
          <w:bCs/>
          <w:color w:val="000000" w:themeColor="text1"/>
          <w:szCs w:val="21"/>
          <w:u w:val="single"/>
          <w:lang w:val="en-US" w:eastAsia="zh-CN"/>
          <w14:textFill>
            <w14:solidFill>
              <w14:schemeClr w14:val="tx1"/>
            </w14:solidFill>
          </w14:textFill>
        </w:rPr>
        <w:t>达到或超过社保内1万元或社保外1万元以上的</w:t>
      </w:r>
      <w:r>
        <w:rPr>
          <w:rFonts w:ascii="等线" w:hAnsi="等线" w:eastAsia="等线" w:cs="等线"/>
          <w:color w:val="000000" w:themeColor="text1"/>
          <w:szCs w:val="21"/>
          <w14:textFill>
            <w14:solidFill>
              <w14:schemeClr w14:val="tx1"/>
            </w14:solidFill>
          </w14:textFill>
        </w:rPr>
        <w:t>部分</w:t>
      </w:r>
      <w:r>
        <w:rPr>
          <w:rFonts w:hint="eastAsia" w:ascii="等线" w:hAnsi="等线" w:eastAsia="等线" w:cs="等线"/>
          <w:color w:val="000000" w:themeColor="text1"/>
          <w:szCs w:val="21"/>
          <w14:textFill>
            <w14:solidFill>
              <w14:schemeClr w14:val="tx1"/>
            </w14:solidFill>
          </w14:textFill>
        </w:rPr>
        <w:t>，可以申请进行垫付服务，垫付服务覆盖全国83个城市中的二级及以上公立医院</w:t>
      </w:r>
      <w:r>
        <w:rPr>
          <w:rFonts w:ascii="等线" w:hAnsi="等线" w:eastAsia="等线" w:cs="等线"/>
          <w:color w:val="000000" w:themeColor="text1"/>
          <w:szCs w:val="21"/>
          <w14:textFill>
            <w14:solidFill>
              <w14:schemeClr w14:val="tx1"/>
            </w14:solidFill>
          </w14:textFill>
        </w:rPr>
        <w:t>（仅覆盖市区范围，城市下属的县、社区、镇、村等医院暂不支持）</w:t>
      </w:r>
      <w:r>
        <w:rPr>
          <w:rFonts w:hint="eastAsia" w:ascii="等线" w:hAnsi="等线" w:eastAsia="等线" w:cs="等线"/>
          <w:color w:val="000000" w:themeColor="text1"/>
          <w:szCs w:val="21"/>
          <w14:textFill>
            <w14:solidFill>
              <w14:schemeClr w14:val="tx1"/>
            </w14:solidFill>
          </w14:textFill>
        </w:rPr>
        <w:t>。2、客户可通过众安互联网医院微信小程序、众安保险APP、众安健康微信公众号内在线申请医疗垫付或拨打客服电话10109955提出垫付服务申请。服务专员联系客户收集材料，了解客户就医需求和费用情况，协助客户完成相关资料填写。</w:t>
      </w:r>
    </w:p>
    <w:p>
      <w:pPr>
        <w:rPr>
          <w:rFonts w:ascii="等线" w:hAnsi="等线" w:eastAsia="等线" w:cs="等线"/>
          <w:b/>
          <w:color w:val="000000" w:themeColor="text1"/>
          <w:szCs w:val="21"/>
          <w:highlight w:val="yellow"/>
          <w14:textFill>
            <w14:solidFill>
              <w14:schemeClr w14:val="tx1"/>
            </w14:solidFill>
          </w14:textFill>
        </w:rPr>
      </w:pPr>
    </w:p>
    <w:p>
      <w:pPr>
        <w:outlineLvl w:val="0"/>
        <w:rPr>
          <w:rFonts w:ascii="等线" w:hAnsi="等线" w:eastAsia="等线" w:cs="等线"/>
          <w:b/>
          <w:color w:val="000000" w:themeColor="text1"/>
          <w:szCs w:val="21"/>
          <w14:textFill>
            <w14:solidFill>
              <w14:schemeClr w14:val="tx1"/>
            </w14:solidFill>
          </w14:textFill>
        </w:rPr>
      </w:pPr>
      <w:bookmarkStart w:id="5" w:name="_Toc9759"/>
      <w:bookmarkStart w:id="6" w:name="_Toc21932"/>
      <w:bookmarkStart w:id="7" w:name="_Toc21621"/>
      <w:bookmarkStart w:id="8" w:name="_Toc5631"/>
      <w:bookmarkStart w:id="9" w:name="_Toc29625"/>
      <w:r>
        <w:rPr>
          <w:rFonts w:hint="eastAsia" w:ascii="等线" w:hAnsi="等线" w:eastAsia="等线" w:cs="等线"/>
          <w:b/>
          <w:color w:val="000000" w:themeColor="text1"/>
          <w:szCs w:val="21"/>
          <w:highlight w:val="yellow"/>
          <w14:textFill>
            <w14:solidFill>
              <w14:schemeClr w14:val="tx1"/>
            </w14:solidFill>
          </w14:textFill>
        </w:rPr>
        <w:t>重疾绿通服务</w:t>
      </w:r>
      <w:bookmarkEnd w:id="5"/>
      <w:bookmarkEnd w:id="6"/>
      <w:bookmarkEnd w:id="7"/>
      <w:bookmarkEnd w:id="8"/>
      <w:bookmarkEnd w:id="9"/>
    </w:p>
    <w:p>
      <w:pPr>
        <w:rPr>
          <w:rFonts w:ascii="等线" w:hAnsi="等线" w:eastAsia="等线" w:cs="等线"/>
          <w:color w:val="000000" w:themeColor="text1"/>
          <w:szCs w:val="21"/>
          <w14:textFill>
            <w14:solidFill>
              <w14:schemeClr w14:val="tx1"/>
            </w14:solidFill>
          </w14:textFill>
        </w:rPr>
      </w:pPr>
      <w:r>
        <w:rPr>
          <w:rFonts w:hint="eastAsia" w:ascii="等线" w:hAnsi="等线" w:eastAsia="等线" w:cs="等线"/>
          <w:color w:val="000000" w:themeColor="text1"/>
          <w:szCs w:val="21"/>
          <w14:textFill>
            <w14:solidFill>
              <w14:schemeClr w14:val="tx1"/>
            </w14:solidFill>
          </w14:textFill>
        </w:rPr>
        <w:t>覆盖全国31个省份，</w:t>
      </w:r>
      <w:r>
        <w:rPr>
          <w:rFonts w:ascii="等线" w:hAnsi="等线" w:eastAsia="等线" w:cs="等线"/>
          <w:color w:val="000000" w:themeColor="text1"/>
          <w:szCs w:val="21"/>
          <w14:textFill>
            <w14:solidFill>
              <w14:schemeClr w14:val="tx1"/>
            </w14:solidFill>
          </w14:textFill>
        </w:rPr>
        <w:t>近</w:t>
      </w:r>
      <w:r>
        <w:rPr>
          <w:rFonts w:hint="eastAsia" w:ascii="等线" w:hAnsi="等线" w:eastAsia="等线" w:cs="等线"/>
          <w:color w:val="000000" w:themeColor="text1"/>
          <w:szCs w:val="21"/>
          <w14:textFill>
            <w14:solidFill>
              <w14:schemeClr w14:val="tx1"/>
            </w14:solidFill>
          </w14:textFill>
        </w:rPr>
        <w:t>100个城市，900多家重点综合医院、专科医院，包含远程问诊、专家门诊、检查加速、住院手术安排及配套服务（含住院探视、医后随访</w:t>
      </w:r>
      <w:r>
        <w:rPr>
          <w:rFonts w:ascii="等线" w:hAnsi="等线" w:eastAsia="等线" w:cs="等线"/>
          <w:color w:val="000000" w:themeColor="text1"/>
          <w:szCs w:val="21"/>
          <w14:textFill>
            <w14:solidFill>
              <w14:schemeClr w14:val="tx1"/>
            </w14:solidFill>
          </w14:textFill>
        </w:rPr>
        <w:t>）</w:t>
      </w:r>
      <w:r>
        <w:rPr>
          <w:rFonts w:hint="eastAsia" w:ascii="等线" w:hAnsi="等线" w:eastAsia="等线" w:cs="等线"/>
          <w:color w:val="000000" w:themeColor="text1"/>
          <w:szCs w:val="21"/>
          <w14:textFill>
            <w14:solidFill>
              <w14:schemeClr w14:val="tx1"/>
            </w14:solidFill>
          </w14:textFill>
        </w:rPr>
        <w:t>、中医理疗</w:t>
      </w:r>
      <w:r>
        <w:rPr>
          <w:rFonts w:ascii="等线" w:hAnsi="等线" w:eastAsia="等线" w:cs="等线"/>
          <w:color w:val="000000" w:themeColor="text1"/>
          <w:szCs w:val="21"/>
          <w14:textFill>
            <w14:solidFill>
              <w14:schemeClr w14:val="tx1"/>
            </w14:solidFill>
          </w14:textFill>
        </w:rPr>
        <w:t>、</w:t>
      </w:r>
      <w:r>
        <w:rPr>
          <w:rFonts w:hint="eastAsia" w:ascii="等线" w:hAnsi="等线" w:eastAsia="等线" w:cs="等线"/>
          <w:color w:val="000000" w:themeColor="text1"/>
          <w:szCs w:val="21"/>
          <w14:textFill>
            <w14:solidFill>
              <w14:schemeClr w14:val="tx1"/>
            </w14:solidFill>
          </w14:textFill>
        </w:rPr>
        <w:t>营养方案和专家复诊。客户可通过众安互联网医院微信小程序、众安保险APP、众安健康微信公众号内在线申请服务或拨打客服电话10109955申请。</w:t>
      </w:r>
    </w:p>
    <w:p>
      <w:pPr>
        <w:rPr>
          <w:rFonts w:ascii="等线" w:hAnsi="等线" w:eastAsia="等线" w:cs="等线"/>
          <w:b/>
          <w:color w:val="000000" w:themeColor="text1"/>
          <w:szCs w:val="21"/>
          <w:highlight w:val="yellow"/>
          <w14:textFill>
            <w14:solidFill>
              <w14:schemeClr w14:val="tx1"/>
            </w14:solidFill>
          </w14:textFill>
        </w:rPr>
      </w:pPr>
    </w:p>
    <w:p>
      <w:pPr>
        <w:outlineLvl w:val="0"/>
        <w:rPr>
          <w:rFonts w:ascii="等线" w:hAnsi="等线" w:eastAsia="等线" w:cs="等线"/>
          <w:b/>
          <w:color w:val="000000" w:themeColor="text1"/>
          <w:szCs w:val="21"/>
          <w14:textFill>
            <w14:solidFill>
              <w14:schemeClr w14:val="tx1"/>
            </w14:solidFill>
          </w14:textFill>
        </w:rPr>
      </w:pPr>
      <w:bookmarkStart w:id="10" w:name="_Toc153369779"/>
      <w:bookmarkStart w:id="11" w:name="_Toc25346"/>
      <w:bookmarkStart w:id="12" w:name="_Toc8095"/>
      <w:bookmarkStart w:id="13" w:name="_Toc17693"/>
      <w:bookmarkStart w:id="14" w:name="_Toc12665"/>
      <w:r>
        <w:rPr>
          <w:rFonts w:hint="eastAsia" w:ascii="等线" w:hAnsi="等线" w:eastAsia="等线" w:cs="等线"/>
          <w:b/>
          <w:color w:val="000000" w:themeColor="text1"/>
          <w:szCs w:val="21"/>
          <w:highlight w:val="yellow"/>
          <w14:textFill>
            <w14:solidFill>
              <w14:schemeClr w14:val="tx1"/>
            </w14:solidFill>
          </w14:textFill>
        </w:rPr>
        <w:t>肿瘤特药服务</w:t>
      </w:r>
      <w:bookmarkEnd w:id="10"/>
    </w:p>
    <w:p>
      <w:pPr>
        <w:rPr>
          <w:rFonts w:ascii="等线" w:hAnsi="等线" w:eastAsia="等线" w:cs="等线"/>
          <w:color w:val="000000" w:themeColor="text1"/>
          <w:szCs w:val="21"/>
          <w14:textFill>
            <w14:solidFill>
              <w14:schemeClr w14:val="tx1"/>
            </w14:solidFill>
          </w14:textFill>
        </w:rPr>
      </w:pPr>
      <w:r>
        <w:rPr>
          <w:rFonts w:hint="eastAsia" w:ascii="等线" w:hAnsi="等线" w:eastAsia="等线" w:cs="等线"/>
          <w:color w:val="000000" w:themeColor="text1"/>
          <w:szCs w:val="21"/>
          <w14:textFill>
            <w14:solidFill>
              <w14:schemeClr w14:val="tx1"/>
            </w14:solidFill>
          </w14:textFill>
        </w:rPr>
        <w:t>等待期后，被保险人经二级或二级以上公立医院确诊罹患保险条款中约定的恶性肿瘤——重度，即可申请使用。若医生开具的处方药品（靶向药及免疫治疗药物）无法在医院内进行购买，我们会安排您在合作的药店网络范围内购药，并对责任范围内的药品费用进行实时结算。3、客户可通过众安健康微信小程序或拨打客服电话952299或1010-9955申请。</w:t>
      </w:r>
    </w:p>
    <w:p>
      <w:pPr>
        <w:rPr>
          <w:rFonts w:ascii="等线" w:hAnsi="等线" w:eastAsia="等线" w:cs="等线"/>
          <w:color w:val="000000" w:themeColor="text1"/>
          <w:szCs w:val="21"/>
          <w14:textFill>
            <w14:solidFill>
              <w14:schemeClr w14:val="tx1"/>
            </w14:solidFill>
          </w14:textFill>
        </w:rPr>
      </w:pPr>
    </w:p>
    <w:p>
      <w:pPr>
        <w:rPr>
          <w:rFonts w:ascii="等线" w:hAnsi="等线" w:eastAsia="等线" w:cs="等线"/>
          <w:color w:val="000000" w:themeColor="text1"/>
          <w:szCs w:val="21"/>
          <w14:textFill>
            <w14:solidFill>
              <w14:schemeClr w14:val="tx1"/>
            </w14:solidFill>
          </w14:textFill>
        </w:rPr>
      </w:pPr>
    </w:p>
    <w:p>
      <w:pPr>
        <w:outlineLvl w:val="0"/>
        <w:rPr>
          <w:rFonts w:ascii="等线" w:hAnsi="等线" w:eastAsia="等线" w:cs="等线"/>
          <w:b/>
          <w:color w:val="000000" w:themeColor="text1"/>
          <w:szCs w:val="21"/>
          <w:highlight w:val="none"/>
          <w14:textFill>
            <w14:solidFill>
              <w14:schemeClr w14:val="tx1"/>
            </w14:solidFill>
          </w14:textFill>
        </w:rPr>
      </w:pPr>
      <w:bookmarkStart w:id="15" w:name="_Toc153369780"/>
      <w:r>
        <w:rPr>
          <w:rFonts w:hint="eastAsia" w:ascii="等线" w:hAnsi="等线" w:eastAsia="等线" w:cs="等线"/>
          <w:b/>
          <w:color w:val="000000" w:themeColor="text1"/>
          <w:szCs w:val="21"/>
          <w:highlight w:val="none"/>
          <w14:textFill>
            <w14:solidFill>
              <w14:schemeClr w14:val="tx1"/>
            </w14:solidFill>
          </w14:textFill>
        </w:rPr>
        <w:t>用药前基因检测</w:t>
      </w:r>
      <w:bookmarkEnd w:id="15"/>
    </w:p>
    <w:p>
      <w:pPr>
        <w:rPr>
          <w:rFonts w:hint="eastAsia" w:ascii="等线" w:hAnsi="等线" w:eastAsia="等线" w:cs="等线"/>
          <w:color w:val="000000" w:themeColor="text1"/>
          <w:szCs w:val="21"/>
          <w:highlight w:val="none"/>
          <w14:textFill>
            <w14:solidFill>
              <w14:schemeClr w14:val="tx1"/>
            </w14:solidFill>
          </w14:textFill>
        </w:rPr>
      </w:pPr>
      <w:r>
        <w:rPr>
          <w:rFonts w:hint="eastAsia" w:ascii="等线" w:hAnsi="等线" w:eastAsia="等线" w:cs="等线"/>
          <w:color w:val="000000" w:themeColor="text1"/>
          <w:szCs w:val="21"/>
          <w:highlight w:val="none"/>
          <w14:textFill>
            <w14:solidFill>
              <w14:schemeClr w14:val="tx1"/>
            </w14:solidFill>
          </w14:textFill>
        </w:rPr>
        <w:t>等待期后，被保险人若经二级或二级以上公立医院确诊罹患保险条款中约定的恶性肿瘤——重度，即可申请使用。我们提供用药前检测服务。客户可通过众安健康微信小程序或拨打客服电话952299或1010-9955申请。</w:t>
      </w:r>
    </w:p>
    <w:bookmarkEnd w:id="11"/>
    <w:bookmarkEnd w:id="12"/>
    <w:bookmarkEnd w:id="13"/>
    <w:bookmarkEnd w:id="14"/>
    <w:p>
      <w:pPr>
        <w:numPr>
          <w:ilvl w:val="255"/>
          <w:numId w:val="0"/>
        </w:numPr>
        <w:ind w:firstLine="420"/>
        <w:rPr>
          <w:rFonts w:ascii="等线" w:hAnsi="等线" w:eastAsia="等线" w:cs="等线"/>
          <w:color w:val="000000" w:themeColor="text1"/>
          <w:szCs w:val="21"/>
          <w:highlight w:val="none"/>
          <w14:textFill>
            <w14:solidFill>
              <w14:schemeClr w14:val="tx1"/>
            </w14:solidFill>
          </w14:textFill>
        </w:rPr>
      </w:pPr>
    </w:p>
    <w:p>
      <w:pPr>
        <w:outlineLvl w:val="0"/>
        <w:rPr>
          <w:rFonts w:ascii="等线" w:hAnsi="等线" w:eastAsia="等线" w:cs="等线"/>
          <w:b/>
          <w:color w:val="000000" w:themeColor="text1"/>
          <w:szCs w:val="21"/>
          <w:highlight w:val="none"/>
          <w14:textFill>
            <w14:solidFill>
              <w14:schemeClr w14:val="tx1"/>
            </w14:solidFill>
          </w14:textFill>
        </w:rPr>
      </w:pPr>
      <w:bookmarkStart w:id="16" w:name="_Toc13529"/>
      <w:bookmarkStart w:id="17" w:name="_Toc32075"/>
      <w:bookmarkStart w:id="18" w:name="_Toc32608"/>
      <w:bookmarkStart w:id="19" w:name="_Toc2649"/>
      <w:r>
        <w:rPr>
          <w:rFonts w:hint="eastAsia" w:ascii="等线" w:hAnsi="等线" w:eastAsia="等线" w:cs="等线"/>
          <w:b/>
          <w:color w:val="000000" w:themeColor="text1"/>
          <w:szCs w:val="21"/>
          <w:highlight w:val="none"/>
          <w14:textFill>
            <w14:solidFill>
              <w14:schemeClr w14:val="tx1"/>
            </w14:solidFill>
          </w14:textFill>
        </w:rPr>
        <w:t>质子重离子服务</w:t>
      </w:r>
      <w:bookmarkEnd w:id="16"/>
      <w:bookmarkEnd w:id="17"/>
      <w:bookmarkEnd w:id="18"/>
      <w:bookmarkEnd w:id="19"/>
    </w:p>
    <w:p>
      <w:pPr>
        <w:rPr>
          <w:rFonts w:ascii="等线" w:hAnsi="等线" w:eastAsia="等线" w:cs="等线"/>
          <w:color w:val="000000" w:themeColor="text1"/>
          <w:szCs w:val="21"/>
          <w:highlight w:val="none"/>
          <w14:textFill>
            <w14:solidFill>
              <w14:schemeClr w14:val="tx1"/>
            </w14:solidFill>
          </w14:textFill>
        </w:rPr>
      </w:pPr>
      <w:r>
        <w:rPr>
          <w:rFonts w:hint="eastAsia" w:ascii="等线" w:hAnsi="等线" w:eastAsia="等线" w:cs="等线"/>
          <w:color w:val="000000"/>
          <w:szCs w:val="21"/>
          <w:highlight w:val="none"/>
        </w:rPr>
        <w:t>该服务仅适用于质子重离子医疗保险金。协助客户进行质子重离子医院病情咨询，符合治疗条件尽早入院治疗。</w:t>
      </w:r>
      <w:r>
        <w:rPr>
          <w:rFonts w:hint="eastAsia" w:ascii="等线" w:hAnsi="等线" w:eastAsia="等线" w:cs="等线"/>
          <w:szCs w:val="21"/>
          <w:highlight w:val="none"/>
        </w:rPr>
        <w:t>特别说明：上海市质子重离子医院暨复旦大学附属肿瘤医院质子重离子中心医务人员将协助众安根据患者提供的现有资料给出咨询建议，</w:t>
      </w:r>
      <w:r>
        <w:rPr>
          <w:rFonts w:ascii="等线" w:hAnsi="等线" w:eastAsia="等线" w:cs="等线"/>
          <w:szCs w:val="21"/>
          <w:highlight w:val="none"/>
        </w:rPr>
        <w:t>由质子重离子中心医务人员初步判断认为</w:t>
      </w:r>
      <w:r>
        <w:rPr>
          <w:rFonts w:hint="eastAsia" w:ascii="等线" w:hAnsi="等线" w:eastAsia="等线" w:cs="等线"/>
          <w:szCs w:val="21"/>
          <w:highlight w:val="none"/>
        </w:rPr>
        <w:t>是否</w:t>
      </w:r>
      <w:r>
        <w:rPr>
          <w:rFonts w:ascii="等线" w:hAnsi="等线" w:eastAsia="等线" w:cs="等线"/>
          <w:szCs w:val="21"/>
          <w:highlight w:val="none"/>
        </w:rPr>
        <w:t>适合预约质子重离子</w:t>
      </w:r>
      <w:r>
        <w:rPr>
          <w:rFonts w:hint="eastAsia" w:ascii="等线" w:hAnsi="等线" w:eastAsia="等线" w:cs="等线"/>
          <w:szCs w:val="21"/>
          <w:highlight w:val="none"/>
        </w:rPr>
        <w:t>医院</w:t>
      </w:r>
      <w:r>
        <w:rPr>
          <w:rFonts w:ascii="等线" w:hAnsi="等线" w:eastAsia="等线" w:cs="等线"/>
          <w:szCs w:val="21"/>
          <w:highlight w:val="none"/>
        </w:rPr>
        <w:t>门诊</w:t>
      </w:r>
      <w:r>
        <w:rPr>
          <w:rFonts w:hint="eastAsia" w:ascii="等线" w:hAnsi="等线" w:eastAsia="等线" w:cs="等线"/>
          <w:szCs w:val="21"/>
          <w:highlight w:val="none"/>
        </w:rPr>
        <w:t>。</w:t>
      </w:r>
      <w:r>
        <w:rPr>
          <w:rFonts w:hint="eastAsia" w:ascii="等线" w:hAnsi="等线" w:eastAsia="等线" w:cs="等线"/>
          <w:color w:val="000000" w:themeColor="text1"/>
          <w:szCs w:val="21"/>
          <w:highlight w:val="none"/>
          <w14:textFill>
            <w14:solidFill>
              <w14:schemeClr w14:val="tx1"/>
            </w14:solidFill>
          </w14:textFill>
        </w:rPr>
        <w:t>客户可通过众安互联网医院微信小程序、众安保险APP或拨打客服电话10109955申请。</w:t>
      </w:r>
    </w:p>
    <w:p>
      <w:pPr>
        <w:numPr>
          <w:ilvl w:val="255"/>
          <w:numId w:val="0"/>
        </w:numPr>
        <w:rPr>
          <w:rFonts w:ascii="等线" w:hAnsi="等线" w:eastAsia="等线" w:cs="等线"/>
          <w:color w:val="000000" w:themeColor="text1"/>
          <w:szCs w:val="21"/>
          <w:highlight w:val="none"/>
          <w14:textFill>
            <w14:solidFill>
              <w14:schemeClr w14:val="tx1"/>
            </w14:solidFill>
          </w14:textFill>
        </w:rPr>
      </w:pPr>
    </w:p>
    <w:p>
      <w:pPr>
        <w:numPr>
          <w:ilvl w:val="-1"/>
          <w:numId w:val="0"/>
        </w:numPr>
        <w:outlineLvl w:val="0"/>
        <w:rPr>
          <w:rFonts w:hint="eastAsia" w:ascii="等线" w:hAnsi="等线" w:eastAsia="等线" w:cs="等线"/>
          <w:b/>
          <w:color w:val="000000" w:themeColor="text1"/>
          <w:kern w:val="2"/>
          <w:sz w:val="21"/>
          <w:szCs w:val="21"/>
          <w:highlight w:val="none"/>
          <w:lang w:val="en-US" w:eastAsia="zh-CN" w:bidi="ar-SA"/>
          <w14:textFill>
            <w14:solidFill>
              <w14:schemeClr w14:val="tx1"/>
            </w14:solidFill>
          </w14:textFill>
        </w:rPr>
      </w:pPr>
      <w:r>
        <w:rPr>
          <w:rFonts w:hint="eastAsia" w:ascii="等线" w:hAnsi="等线" w:eastAsia="等线" w:cs="等线"/>
          <w:b/>
          <w:color w:val="000000" w:themeColor="text1"/>
          <w:kern w:val="2"/>
          <w:sz w:val="21"/>
          <w:szCs w:val="21"/>
          <w:highlight w:val="none"/>
          <w:lang w:bidi="ar-SA"/>
          <w14:textFill>
            <w14:solidFill>
              <w14:schemeClr w14:val="tx1"/>
            </w14:solidFill>
          </w14:textFill>
        </w:rPr>
        <w:t>就医陪诊</w:t>
      </w:r>
      <w:r>
        <w:rPr>
          <w:rFonts w:hint="eastAsia" w:ascii="等线" w:hAnsi="等线" w:eastAsia="等线" w:cs="等线"/>
          <w:b/>
          <w:color w:val="000000" w:themeColor="text1"/>
          <w:kern w:val="2"/>
          <w:sz w:val="21"/>
          <w:szCs w:val="21"/>
          <w:highlight w:val="none"/>
          <w:lang w:val="en-US" w:eastAsia="zh-CN" w:bidi="ar-SA"/>
          <w14:textFill>
            <w14:solidFill>
              <w14:schemeClr w14:val="tx1"/>
            </w14:solidFill>
          </w14:textFill>
        </w:rPr>
        <w:t>服务</w:t>
      </w:r>
    </w:p>
    <w:p>
      <w:pPr>
        <w:numPr>
          <w:ilvl w:val="-1"/>
          <w:numId w:val="0"/>
        </w:numPr>
        <w:rPr>
          <w:rFonts w:ascii="等线" w:hAnsi="等线" w:eastAsia="等线" w:cs="等线"/>
          <w:color w:val="000000" w:themeColor="text1"/>
          <w:szCs w:val="21"/>
          <w14:textFill>
            <w14:solidFill>
              <w14:schemeClr w14:val="tx1"/>
            </w14:solidFill>
          </w14:textFill>
        </w:rPr>
      </w:pPr>
      <w:r>
        <w:rPr>
          <w:rFonts w:hint="eastAsia" w:ascii="等线" w:hAnsi="等线" w:eastAsia="等线" w:cs="等线"/>
          <w:color w:val="000000" w:themeColor="text1"/>
          <w:szCs w:val="21"/>
          <w14:textFill>
            <w14:solidFill>
              <w14:schemeClr w14:val="tx1"/>
            </w14:solidFill>
          </w14:textFill>
        </w:rPr>
        <w:t>保单等待期满后，客户可申请就医陪诊服务。由专业的陪诊人员为客户提供挂号候诊、缴费排队、窗口取药等服务（产科不属于服务范畴），提升客户就医效率及就医体验。</w:t>
      </w:r>
      <w:r>
        <w:rPr>
          <w:rFonts w:hint="eastAsia" w:ascii="等线" w:hAnsi="等线" w:eastAsia="等线" w:cs="等线"/>
          <w:color w:val="000000" w:themeColor="text1"/>
          <w:szCs w:val="21"/>
          <w:lang w:val="en-US" w:eastAsia="zh-CN"/>
          <w14:textFill>
            <w14:solidFill>
              <w14:schemeClr w14:val="tx1"/>
            </w14:solidFill>
          </w14:textFill>
        </w:rPr>
        <w:t>整个保单年度内限2次。</w:t>
      </w:r>
      <w:r>
        <w:rPr>
          <w:rFonts w:hint="eastAsia" w:ascii="等线" w:hAnsi="等线" w:eastAsia="等线" w:cs="等线"/>
          <w:color w:val="000000" w:themeColor="text1"/>
          <w:szCs w:val="21"/>
          <w14:textFill>
            <w14:solidFill>
              <w14:schemeClr w14:val="tx1"/>
            </w14:solidFill>
          </w14:textFill>
        </w:rPr>
        <w:t>客户可以通过众安互联网医院微信小程序或拨打10109955申请就医陪诊服务。电话接听时间：每天9：00-21:00。</w:t>
      </w:r>
    </w:p>
    <w:p>
      <w:pPr>
        <w:numPr>
          <w:ilvl w:val="255"/>
          <w:numId w:val="0"/>
        </w:numPr>
        <w:rPr>
          <w:rFonts w:hint="eastAsia" w:ascii="微软雅黑" w:hAnsi="微软雅黑" w:cs="Times New Roman"/>
          <w:color w:val="000000"/>
          <w:kern w:val="2"/>
          <w:sz w:val="18"/>
          <w:szCs w:val="18"/>
          <w:highlight w:val="none"/>
          <w:lang w:val="en-US" w:eastAsia="zh-CN" w:bidi="ar-SA"/>
        </w:rPr>
      </w:pPr>
    </w:p>
    <w:p>
      <w:pPr>
        <w:numPr>
          <w:ilvl w:val="255"/>
          <w:numId w:val="0"/>
        </w:numPr>
        <w:rPr>
          <w:rFonts w:hint="eastAsia" w:ascii="微软雅黑" w:hAnsi="微软雅黑" w:cs="Times New Roman"/>
          <w:color w:val="000000"/>
          <w:kern w:val="2"/>
          <w:sz w:val="18"/>
          <w:szCs w:val="18"/>
          <w:highlight w:val="none"/>
          <w:lang w:val="en-US" w:eastAsia="zh-CN" w:bidi="ar-SA"/>
        </w:rPr>
      </w:pPr>
    </w:p>
    <w:p>
      <w:pPr>
        <w:numPr>
          <w:ilvl w:val="-1"/>
          <w:numId w:val="0"/>
        </w:numPr>
        <w:outlineLvl w:val="0"/>
        <w:rPr>
          <w:rFonts w:hint="eastAsia" w:ascii="等线" w:hAnsi="等线" w:eastAsia="等线" w:cs="等线"/>
          <w:b/>
          <w:color w:val="000000" w:themeColor="text1"/>
          <w:kern w:val="2"/>
          <w:sz w:val="21"/>
          <w:szCs w:val="21"/>
          <w:highlight w:val="none"/>
          <w:lang w:bidi="ar-SA"/>
          <w14:textFill>
            <w14:solidFill>
              <w14:schemeClr w14:val="tx1"/>
            </w14:solidFill>
          </w14:textFill>
        </w:rPr>
      </w:pPr>
      <w:r>
        <w:rPr>
          <w:rFonts w:hint="eastAsia" w:ascii="等线" w:hAnsi="等线" w:eastAsia="等线" w:cs="等线"/>
          <w:b/>
          <w:color w:val="000000" w:themeColor="text1"/>
          <w:kern w:val="2"/>
          <w:sz w:val="21"/>
          <w:szCs w:val="21"/>
          <w:highlight w:val="none"/>
          <w:lang w:bidi="ar-SA"/>
          <w14:textFill>
            <w14:solidFill>
              <w14:schemeClr w14:val="tx1"/>
            </w14:solidFill>
          </w14:textFill>
        </w:rPr>
        <w:t>住院护工服务</w:t>
      </w:r>
    </w:p>
    <w:p>
      <w:pPr>
        <w:widowControl/>
        <w:numPr>
          <w:ilvl w:val="255"/>
          <w:numId w:val="0"/>
        </w:numPr>
        <w:ind w:firstLine="0"/>
        <w:rPr>
          <w:rFonts w:ascii="等线" w:hAnsi="等线" w:eastAsia="等线" w:cs="等线"/>
          <w:color w:val="000000" w:themeColor="text1"/>
          <w:szCs w:val="21"/>
          <w14:textFill>
            <w14:solidFill>
              <w14:schemeClr w14:val="tx1"/>
            </w14:solidFill>
          </w14:textFill>
        </w:rPr>
      </w:pPr>
      <w:r>
        <w:rPr>
          <w:rFonts w:hint="eastAsia" w:ascii="等线" w:hAnsi="等线" w:eastAsia="等线" w:cs="等线"/>
          <w:color w:val="000000" w:themeColor="text1"/>
          <w:szCs w:val="21"/>
          <w:lang w:val="en-US" w:eastAsia="zh-CN"/>
          <w14:textFill>
            <w14:solidFill>
              <w14:schemeClr w14:val="tx1"/>
            </w14:solidFill>
          </w14:textFill>
        </w:rPr>
        <w:t>被保险人</w:t>
      </w:r>
      <w:r>
        <w:rPr>
          <w:rFonts w:hint="eastAsia" w:ascii="等线" w:hAnsi="等线" w:eastAsia="等线" w:cs="等线"/>
          <w:color w:val="000000" w:themeColor="text1"/>
          <w:szCs w:val="21"/>
          <w14:textFill>
            <w14:solidFill>
              <w14:schemeClr w14:val="tx1"/>
            </w14:solidFill>
          </w14:textFill>
        </w:rPr>
        <w:t>在二级及二级以上的公立医院普通部因</w:t>
      </w:r>
      <w:r>
        <w:rPr>
          <w:rFonts w:hint="eastAsia" w:ascii="等线" w:hAnsi="等线" w:eastAsia="等线" w:cs="等线"/>
          <w:color w:val="000000" w:themeColor="text1"/>
          <w:szCs w:val="21"/>
          <w:lang w:val="en-US" w:eastAsia="zh-CN"/>
          <w14:textFill>
            <w14:solidFill>
              <w14:schemeClr w14:val="tx1"/>
            </w14:solidFill>
          </w14:textFill>
        </w:rPr>
        <w:t>意外或等待后罹患疾病需住院治疗，在</w:t>
      </w:r>
      <w:r>
        <w:rPr>
          <w:rFonts w:hint="eastAsia" w:ascii="等线" w:hAnsi="等线" w:eastAsia="等线" w:cs="等线"/>
          <w:color w:val="000000" w:themeColor="text1"/>
          <w:szCs w:val="21"/>
          <w14:textFill>
            <w14:solidFill>
              <w14:schemeClr w14:val="tx1"/>
            </w14:solidFill>
          </w14:textFill>
        </w:rPr>
        <w:t>住院</w:t>
      </w:r>
      <w:r>
        <w:rPr>
          <w:rFonts w:hint="eastAsia" w:ascii="等线" w:hAnsi="等线" w:eastAsia="等线" w:cs="等线"/>
          <w:color w:val="000000" w:themeColor="text1"/>
          <w:szCs w:val="21"/>
          <w:lang w:val="en-US" w:eastAsia="zh-CN"/>
          <w14:textFill>
            <w14:solidFill>
              <w14:schemeClr w14:val="tx1"/>
            </w14:solidFill>
          </w14:textFill>
        </w:rPr>
        <w:t>治疗期间有</w:t>
      </w:r>
      <w:r>
        <w:rPr>
          <w:rFonts w:hint="eastAsia" w:ascii="等线" w:hAnsi="等线" w:eastAsia="等线" w:cs="等线"/>
          <w:color w:val="000000" w:themeColor="text1"/>
          <w:szCs w:val="21"/>
          <w14:textFill>
            <w14:solidFill>
              <w14:schemeClr w14:val="tx1"/>
            </w14:solidFill>
          </w14:textFill>
        </w:rPr>
        <w:t>护理需求，在客户住院期间提供</w:t>
      </w:r>
      <w:r>
        <w:rPr>
          <w:rFonts w:hint="eastAsia" w:ascii="等线" w:hAnsi="等线" w:eastAsia="等线" w:cs="等线"/>
          <w:color w:val="000000" w:themeColor="text1"/>
          <w:szCs w:val="21"/>
          <w:lang w:val="en-US" w:eastAsia="zh-CN"/>
          <w14:textFill>
            <w14:solidFill>
              <w14:schemeClr w14:val="tx1"/>
            </w14:solidFill>
          </w14:textFill>
        </w:rPr>
        <w:t>单次</w:t>
      </w:r>
      <w:r>
        <w:rPr>
          <w:rFonts w:hint="eastAsia" w:ascii="等线" w:hAnsi="等线" w:eastAsia="等线" w:cs="等线"/>
          <w:color w:val="000000" w:themeColor="text1"/>
          <w:szCs w:val="21"/>
          <w14:textFill>
            <w14:solidFill>
              <w14:schemeClr w14:val="tx1"/>
            </w14:solidFill>
          </w14:textFill>
        </w:rPr>
        <w:t>不超过</w:t>
      </w:r>
      <w:r>
        <w:rPr>
          <w:rFonts w:hint="eastAsia" w:ascii="等线" w:hAnsi="等线" w:eastAsia="等线" w:cs="等线"/>
          <w:color w:val="000000" w:themeColor="text1"/>
          <w:szCs w:val="21"/>
          <w:lang w:val="en-US" w:eastAsia="zh-CN"/>
          <w14:textFill>
            <w14:solidFill>
              <w14:schemeClr w14:val="tx1"/>
            </w14:solidFill>
          </w14:textFill>
        </w:rPr>
        <w:t>5</w:t>
      </w:r>
      <w:r>
        <w:rPr>
          <w:rFonts w:hint="eastAsia" w:ascii="等线" w:hAnsi="等线" w:eastAsia="等线" w:cs="等线"/>
          <w:color w:val="000000" w:themeColor="text1"/>
          <w:szCs w:val="21"/>
          <w14:textFill>
            <w14:solidFill>
              <w14:schemeClr w14:val="tx1"/>
            </w14:solidFill>
          </w14:textFill>
        </w:rPr>
        <w:t>日的住院护工服务</w:t>
      </w:r>
      <w:r>
        <w:rPr>
          <w:rFonts w:hint="eastAsia" w:ascii="等线" w:hAnsi="等线" w:eastAsia="等线" w:cs="等线"/>
          <w:color w:val="000000" w:themeColor="text1"/>
          <w:szCs w:val="21"/>
          <w:lang w:val="en-US" w:eastAsia="zh-CN"/>
          <w14:textFill>
            <w14:solidFill>
              <w14:schemeClr w14:val="tx1"/>
            </w14:solidFill>
          </w14:textFill>
        </w:rPr>
        <w:t>1次</w:t>
      </w:r>
      <w:r>
        <w:rPr>
          <w:rFonts w:hint="eastAsia" w:ascii="等线" w:hAnsi="等线" w:eastAsia="等线" w:cs="等线"/>
          <w:color w:val="000000" w:themeColor="text1"/>
          <w:szCs w:val="21"/>
          <w14:textFill>
            <w14:solidFill>
              <w14:schemeClr w14:val="tx1"/>
            </w14:solidFill>
          </w14:textFill>
        </w:rPr>
        <w:t>（不包含留观室），3个工作日内安排专业护工服务，服务包含基本生活照护、清洁与卫生、情况观察、专项照护、关怀与陪同，主要以生活照料类服务为主。</w:t>
      </w:r>
    </w:p>
    <w:p>
      <w:pPr>
        <w:numPr>
          <w:ilvl w:val="-1"/>
          <w:numId w:val="0"/>
        </w:numPr>
        <w:outlineLvl w:val="0"/>
        <w:rPr>
          <w:rFonts w:hint="eastAsia" w:ascii="等线" w:hAnsi="等线" w:eastAsia="等线" w:cs="等线"/>
          <w:b/>
          <w:color w:val="000000" w:themeColor="text1"/>
          <w:kern w:val="2"/>
          <w:sz w:val="21"/>
          <w:szCs w:val="21"/>
          <w:highlight w:val="none"/>
          <w:lang w:val="en-US" w:eastAsia="zh-CN" w:bidi="ar-SA"/>
          <w14:textFill>
            <w14:solidFill>
              <w14:schemeClr w14:val="tx1"/>
            </w14:solidFill>
          </w14:textFill>
        </w:rPr>
      </w:pPr>
    </w:p>
    <w:p>
      <w:pPr>
        <w:numPr>
          <w:ilvl w:val="-1"/>
          <w:numId w:val="0"/>
        </w:numPr>
        <w:outlineLvl w:val="0"/>
        <w:rPr>
          <w:rFonts w:hint="eastAsia" w:ascii="等线" w:hAnsi="等线" w:eastAsia="等线" w:cs="等线"/>
          <w:b/>
          <w:color w:val="000000" w:themeColor="text1"/>
          <w:kern w:val="2"/>
          <w:sz w:val="21"/>
          <w:szCs w:val="21"/>
          <w:highlight w:val="none"/>
          <w:lang w:val="en-US" w:eastAsia="zh-CN" w:bidi="ar-SA"/>
          <w14:textFill>
            <w14:solidFill>
              <w14:schemeClr w14:val="tx1"/>
            </w14:solidFill>
          </w14:textFill>
        </w:rPr>
      </w:pPr>
      <w:r>
        <w:rPr>
          <w:rFonts w:hint="eastAsia" w:ascii="等线" w:hAnsi="等线" w:eastAsia="等线" w:cs="等线"/>
          <w:b/>
          <w:color w:val="000000" w:themeColor="text1"/>
          <w:kern w:val="2"/>
          <w:sz w:val="21"/>
          <w:szCs w:val="21"/>
          <w:highlight w:val="none"/>
          <w:lang w:val="en-US" w:eastAsia="zh-CN" w:bidi="ar-SA"/>
          <w14:textFill>
            <w14:solidFill>
              <w14:schemeClr w14:val="tx1"/>
            </w14:solidFill>
          </w14:textFill>
        </w:rPr>
        <w:t>臻选健康管理服务（限臻选版计划使用）</w:t>
      </w:r>
    </w:p>
    <w:p>
      <w:pPr>
        <w:widowControl/>
        <w:numPr>
          <w:ilvl w:val="255"/>
          <w:numId w:val="0"/>
        </w:numPr>
        <w:ind w:firstLine="0"/>
        <w:rPr>
          <w:rFonts w:hint="eastAsia" w:ascii="等线" w:hAnsi="等线" w:eastAsia="等线" w:cs="等线"/>
          <w:color w:val="000000" w:themeColor="text1"/>
          <w:szCs w:val="21"/>
          <w14:textFill>
            <w14:solidFill>
              <w14:schemeClr w14:val="tx1"/>
            </w14:solidFill>
          </w14:textFill>
        </w:rPr>
      </w:pPr>
      <w:r>
        <w:rPr>
          <w:rFonts w:hint="eastAsia" w:ascii="等线" w:hAnsi="等线" w:eastAsia="等线" w:cs="等线"/>
          <w:color w:val="000000" w:themeColor="text1"/>
          <w:sz w:val="21"/>
          <w:szCs w:val="21"/>
          <w:lang w:val="en-US" w:eastAsia="zh-CN"/>
          <w14:textFill>
            <w14:solidFill>
              <w14:schemeClr w14:val="tx1"/>
            </w14:solidFill>
          </w14:textFill>
        </w:rPr>
        <w:t>臻选健康管理服务包括5项可选服务，被保险人可以从5项服务中任意选择其中的1项。被保险人选定1项服务后，其他4项服务视为自动放弃并失效。被保险人选定服务后，一个保单年度内不得变更。5项臻选客户服务包括体检服务、慢病管理服务、胃肠道健康服务、儿童健康服务和四季小药箱服务</w:t>
      </w:r>
      <w:r>
        <w:rPr>
          <w:rFonts w:hint="eastAsia" w:ascii="等线" w:hAnsi="等线" w:eastAsia="等线" w:cs="等线"/>
          <w:color w:val="000000" w:themeColor="text1"/>
          <w:szCs w:val="21"/>
          <w14:textFill>
            <w14:solidFill>
              <w14:schemeClr w14:val="tx1"/>
            </w14:solidFill>
          </w14:textFill>
        </w:rPr>
        <w:t>。</w:t>
      </w:r>
      <w:r>
        <w:rPr>
          <w:rFonts w:hint="eastAsia" w:ascii="等线" w:hAnsi="等线" w:eastAsia="等线" w:cs="等线"/>
          <w:color w:val="000000" w:themeColor="text1"/>
          <w:szCs w:val="21"/>
          <w:lang w:val="en-US" w:eastAsia="zh-CN"/>
          <w14:textFill>
            <w14:solidFill>
              <w14:schemeClr w14:val="tx1"/>
            </w14:solidFill>
          </w14:textFill>
        </w:rPr>
        <w:t>可在投保后</w:t>
      </w:r>
      <w:r>
        <w:rPr>
          <w:rFonts w:hint="eastAsia" w:ascii="等线" w:hAnsi="等线" w:eastAsia="等线" w:cs="等线"/>
          <w:color w:val="000000" w:themeColor="text1"/>
          <w:szCs w:val="21"/>
          <w14:textFill>
            <w14:solidFill>
              <w14:schemeClr w14:val="tx1"/>
            </w14:solidFill>
          </w14:textFill>
        </w:rPr>
        <w:t>众安健康微信</w:t>
      </w:r>
      <w:r>
        <w:rPr>
          <w:rFonts w:hint="eastAsia" w:ascii="等线" w:hAnsi="等线" w:eastAsia="等线" w:cs="等线"/>
          <w:color w:val="000000" w:themeColor="text1"/>
          <w:szCs w:val="21"/>
          <w:lang w:val="en-US" w:eastAsia="zh-CN"/>
          <w14:textFill>
            <w14:solidFill>
              <w14:schemeClr w14:val="tx1"/>
            </w14:solidFill>
          </w14:textFill>
        </w:rPr>
        <w:t>小程序</w:t>
      </w:r>
      <w:r>
        <w:rPr>
          <w:rFonts w:hint="eastAsia" w:ascii="等线" w:hAnsi="等线" w:eastAsia="等线" w:cs="等线"/>
          <w:color w:val="000000" w:themeColor="text1"/>
          <w:szCs w:val="21"/>
          <w14:textFill>
            <w14:solidFill>
              <w14:schemeClr w14:val="tx1"/>
            </w14:solidFill>
          </w14:textFill>
        </w:rPr>
        <w:t>-点击</w:t>
      </w:r>
      <w:r>
        <w:rPr>
          <w:rFonts w:hint="eastAsia" w:ascii="等线" w:hAnsi="等线" w:eastAsia="等线" w:cs="等线"/>
          <w:color w:val="000000" w:themeColor="text1"/>
          <w:szCs w:val="21"/>
          <w:lang w:val="en-US" w:eastAsia="zh-CN"/>
          <w14:textFill>
            <w14:solidFill>
              <w14:schemeClr w14:val="tx1"/>
            </w14:solidFill>
          </w14:textFill>
        </w:rPr>
        <w:t>我的</w:t>
      </w:r>
      <w:r>
        <w:rPr>
          <w:rFonts w:hint="eastAsia" w:ascii="等线" w:hAnsi="等线" w:eastAsia="等线" w:cs="等线"/>
          <w:color w:val="000000" w:themeColor="text1"/>
          <w:szCs w:val="21"/>
          <w14:textFill>
            <w14:solidFill>
              <w14:schemeClr w14:val="tx1"/>
            </w14:solidFill>
          </w14:textFill>
        </w:rPr>
        <w:t>-</w:t>
      </w:r>
      <w:r>
        <w:rPr>
          <w:rFonts w:hint="eastAsia" w:ascii="等线" w:hAnsi="等线" w:eastAsia="等线" w:cs="等线"/>
          <w:color w:val="000000" w:themeColor="text1"/>
          <w:szCs w:val="21"/>
          <w:lang w:val="en-US" w:eastAsia="zh-CN"/>
          <w14:textFill>
            <w14:solidFill>
              <w14:schemeClr w14:val="tx1"/>
            </w14:solidFill>
          </w14:textFill>
        </w:rPr>
        <w:t>我的保单-</w:t>
      </w:r>
      <w:r>
        <w:rPr>
          <w:rFonts w:hint="eastAsia" w:ascii="等线" w:hAnsi="等线" w:eastAsia="等线" w:cs="等线"/>
          <w:color w:val="000000" w:themeColor="text1"/>
          <w:szCs w:val="21"/>
          <w14:textFill>
            <w14:solidFill>
              <w14:schemeClr w14:val="tx1"/>
            </w14:solidFill>
          </w14:textFill>
        </w:rPr>
        <w:t>保单列表-</w:t>
      </w:r>
      <w:r>
        <w:rPr>
          <w:rFonts w:hint="eastAsia" w:ascii="等线" w:hAnsi="等线" w:eastAsia="等线" w:cs="等线"/>
          <w:color w:val="000000" w:themeColor="text1"/>
          <w:szCs w:val="21"/>
          <w:lang w:val="en-US" w:eastAsia="zh-CN"/>
          <w14:textFill>
            <w14:solidFill>
              <w14:schemeClr w14:val="tx1"/>
            </w14:solidFill>
          </w14:textFill>
        </w:rPr>
        <w:t>点击“臻选健康管理服务”进行服务选择。臻选健康管理服务限被保险人本人在保单生效的10日后的保险期限内使用，服务电话：10109955或952299。</w:t>
      </w:r>
    </w:p>
    <w:p>
      <w:pPr>
        <w:numPr>
          <w:ilvl w:val="-1"/>
          <w:numId w:val="0"/>
        </w:numPr>
        <w:spacing w:line="360" w:lineRule="auto"/>
        <w:outlineLvl w:val="9"/>
        <w:rPr>
          <w:rFonts w:hint="eastAsia" w:ascii="等线" w:hAnsi="等线" w:eastAsia="等线" w:cs="等线"/>
          <w:b w:val="0"/>
          <w:color w:val="000000" w:themeColor="text1"/>
          <w:kern w:val="2"/>
          <w:sz w:val="21"/>
          <w:szCs w:val="21"/>
          <w:lang w:val="en-US" w:eastAsia="zh-CN" w:bidi="ar-SA"/>
          <w14:textFill>
            <w14:solidFill>
              <w14:schemeClr w14:val="tx1"/>
            </w14:solidFill>
          </w14:textFill>
        </w:rPr>
      </w:pPr>
      <w:r>
        <w:rPr>
          <w:rFonts w:hint="eastAsia" w:ascii="等线" w:hAnsi="等线" w:eastAsia="等线" w:cs="等线"/>
          <w:b w:val="0"/>
          <w:color w:val="000000" w:themeColor="text1"/>
          <w:kern w:val="2"/>
          <w:sz w:val="21"/>
          <w:szCs w:val="21"/>
          <w:lang w:val="en-US" w:eastAsia="zh-CN" w:bidi="ar-SA"/>
          <w14:textFill>
            <w14:solidFill>
              <w14:schemeClr w14:val="tx1"/>
            </w14:solidFill>
          </w14:textFill>
        </w:rPr>
        <w:t>上述服务中：</w:t>
      </w:r>
    </w:p>
    <w:p>
      <w:pPr>
        <w:widowControl/>
        <w:numPr>
          <w:ilvl w:val="0"/>
          <w:numId w:val="1"/>
        </w:numPr>
        <w:spacing w:line="240" w:lineRule="auto"/>
        <w:ind w:left="420" w:hanging="420"/>
        <w:outlineLvl w:val="9"/>
        <w:rPr>
          <w:rFonts w:hint="eastAsia" w:ascii="等线" w:hAnsi="等线" w:eastAsia="等线" w:cs="等线"/>
          <w:b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color w:val="000000" w:themeColor="text1"/>
          <w:kern w:val="2"/>
          <w:sz w:val="20"/>
          <w:szCs w:val="22"/>
          <w:highlight w:val="none"/>
          <w:lang w:val="en-US" w:eastAsia="zh-CN" w:bidi="ar-SA"/>
          <w14:textFill>
            <w14:solidFill>
              <w14:schemeClr w14:val="tx1"/>
            </w14:solidFill>
          </w14:textFill>
        </w:rPr>
        <w:t>体检服务为定制体检套餐，</w:t>
      </w:r>
      <w:r>
        <w:rPr>
          <w:rFonts w:hint="eastAsia" w:ascii="宋体" w:hAnsi="宋体" w:eastAsia="宋体" w:cs="宋体"/>
          <w:color w:val="000000" w:themeColor="text1"/>
          <w:sz w:val="20"/>
          <w:szCs w:val="22"/>
          <w:highlight w:val="none"/>
          <w:lang w:val="en-US" w:eastAsia="zh-CN"/>
          <w14:textFill>
            <w14:solidFill>
              <w14:schemeClr w14:val="tx1"/>
            </w14:solidFill>
          </w14:textFill>
        </w:rPr>
        <w:t>需至少提前2-3天进行预约，且须至少在保单到期一天到检，预约时具体以体检机构为准</w:t>
      </w:r>
      <w:r>
        <w:rPr>
          <w:rFonts w:hint="eastAsia" w:ascii="等线" w:hAnsi="等线" w:eastAsia="等线" w:cs="等线"/>
          <w:b w:val="0"/>
          <w:color w:val="000000" w:themeColor="text1"/>
          <w:kern w:val="2"/>
          <w:sz w:val="21"/>
          <w:szCs w:val="21"/>
          <w:lang w:val="en-US" w:eastAsia="zh-CN" w:bidi="ar-SA"/>
          <w14:textFill>
            <w14:solidFill>
              <w14:schemeClr w14:val="tx1"/>
            </w14:solidFill>
          </w14:textFill>
        </w:rPr>
        <w:t>；</w:t>
      </w:r>
    </w:p>
    <w:p>
      <w:pPr>
        <w:widowControl/>
        <w:numPr>
          <w:ilvl w:val="0"/>
          <w:numId w:val="1"/>
        </w:numPr>
        <w:spacing w:line="240" w:lineRule="auto"/>
        <w:ind w:left="420" w:hanging="420"/>
        <w:outlineLvl w:val="9"/>
        <w:rPr>
          <w:rFonts w:hint="eastAsia" w:ascii="等线" w:hAnsi="等线" w:eastAsia="等线" w:cs="等线"/>
          <w:b w:val="0"/>
          <w:color w:val="000000" w:themeColor="text1"/>
          <w:kern w:val="2"/>
          <w:sz w:val="21"/>
          <w:szCs w:val="21"/>
          <w:lang w:val="en-US" w:eastAsia="zh-CN" w:bidi="ar-SA"/>
          <w14:textFill>
            <w14:solidFill>
              <w14:schemeClr w14:val="tx1"/>
            </w14:solidFill>
          </w14:textFill>
        </w:rPr>
      </w:pPr>
      <w:r>
        <w:rPr>
          <w:rFonts w:hint="eastAsia" w:ascii="等线" w:hAnsi="等线" w:eastAsia="等线" w:cs="等线"/>
          <w:b w:val="0"/>
          <w:color w:val="000000" w:themeColor="text1"/>
          <w:kern w:val="2"/>
          <w:sz w:val="21"/>
          <w:szCs w:val="21"/>
          <w:lang w:val="en-US" w:eastAsia="zh-CN" w:bidi="ar-SA"/>
          <w14:textFill>
            <w14:solidFill>
              <w14:schemeClr w14:val="tx1"/>
            </w14:solidFill>
          </w14:textFill>
        </w:rPr>
        <w:t>慢病管理服务包含慢病器械，血压计或血糖仪二选一寄送，以及5折线上购买药品服务；</w:t>
      </w:r>
    </w:p>
    <w:p>
      <w:pPr>
        <w:widowControl/>
        <w:numPr>
          <w:ilvl w:val="0"/>
          <w:numId w:val="1"/>
        </w:numPr>
        <w:spacing w:line="240" w:lineRule="auto"/>
        <w:ind w:left="420" w:hanging="420"/>
        <w:outlineLvl w:val="9"/>
        <w:rPr>
          <w:rFonts w:hint="eastAsia" w:ascii="等线" w:hAnsi="等线" w:eastAsia="等线" w:cs="等线"/>
          <w:b w:val="0"/>
          <w:color w:val="000000" w:themeColor="text1"/>
          <w:kern w:val="2"/>
          <w:sz w:val="21"/>
          <w:szCs w:val="21"/>
          <w:lang w:val="en-US" w:eastAsia="zh-CN" w:bidi="ar-SA"/>
          <w14:textFill>
            <w14:solidFill>
              <w14:schemeClr w14:val="tx1"/>
            </w14:solidFill>
          </w14:textFill>
        </w:rPr>
      </w:pPr>
      <w:r>
        <w:rPr>
          <w:rFonts w:hint="eastAsia" w:ascii="等线" w:hAnsi="等线" w:eastAsia="等线" w:cs="等线"/>
          <w:b w:val="0"/>
          <w:color w:val="000000" w:themeColor="text1"/>
          <w:kern w:val="2"/>
          <w:sz w:val="21"/>
          <w:szCs w:val="21"/>
          <w:lang w:val="en-US" w:eastAsia="zh-CN" w:bidi="ar-SA"/>
          <w14:textFill>
            <w14:solidFill>
              <w14:schemeClr w14:val="tx1"/>
            </w14:solidFill>
          </w14:textFill>
        </w:rPr>
        <w:t>胃肠道健康管理服务包含噗噗管检测盒</w:t>
      </w:r>
      <w:r>
        <w:rPr>
          <w:rFonts w:hint="eastAsia" w:ascii="等线" w:hAnsi="等线" w:eastAsia="等线" w:cs="等线"/>
          <w:color w:val="000000" w:themeColor="text1"/>
          <w:sz w:val="21"/>
          <w:szCs w:val="21"/>
          <w:lang w:val="en-US" w:eastAsia="zh-CN"/>
          <w14:textFill>
            <w14:solidFill>
              <w14:schemeClr w14:val="tx1"/>
            </w14:solidFill>
          </w14:textFill>
        </w:rPr>
        <w:t>（1个）+幽幽管检测盒（1个）+蔚通胶囊（1</w:t>
      </w:r>
      <w:bookmarkStart w:id="20" w:name="_GoBack"/>
      <w:bookmarkEnd w:id="20"/>
      <w:r>
        <w:rPr>
          <w:rFonts w:hint="eastAsia" w:ascii="等线" w:hAnsi="等线" w:eastAsia="等线" w:cs="等线"/>
          <w:color w:val="000000" w:themeColor="text1"/>
          <w:sz w:val="21"/>
          <w:szCs w:val="21"/>
          <w:lang w:val="en-US" w:eastAsia="zh-CN"/>
          <w14:textFill>
            <w14:solidFill>
              <w14:schemeClr w14:val="tx1"/>
            </w14:solidFill>
          </w14:textFill>
        </w:rPr>
        <w:t>个），以及5折复购蔚通胶囊折扣优惠。噗噗管用于</w:t>
      </w:r>
      <w:r>
        <w:rPr>
          <w:rFonts w:hint="eastAsia" w:ascii="等线" w:hAnsi="等线" w:eastAsia="等线" w:cs="等线"/>
          <w:i w:val="0"/>
          <w:iCs w:val="0"/>
          <w:color w:val="000000" w:themeColor="text1"/>
          <w:kern w:val="2"/>
          <w:sz w:val="21"/>
          <w:szCs w:val="21"/>
          <w:u w:val="none"/>
          <w:lang w:val="en-US" w:eastAsia="zh-CN" w:bidi="ar-SA"/>
          <w14:textFill>
            <w14:solidFill>
              <w14:schemeClr w14:val="tx1"/>
            </w14:solidFill>
          </w14:textFill>
        </w:rPr>
        <w:t>便隐血居家自检测；幽幽管用于幽门螺旋杆菌居家自检测，蔚通胶囊是物理方式改善肠动力，缓解便秘困扰；</w:t>
      </w:r>
    </w:p>
    <w:p>
      <w:pPr>
        <w:widowControl/>
        <w:numPr>
          <w:ilvl w:val="0"/>
          <w:numId w:val="1"/>
        </w:numPr>
        <w:spacing w:line="240" w:lineRule="auto"/>
        <w:ind w:left="420" w:hanging="420"/>
        <w:outlineLvl w:val="9"/>
        <w:rPr>
          <w:rFonts w:hint="eastAsia" w:ascii="等线" w:hAnsi="等线" w:eastAsia="等线" w:cs="等线"/>
          <w:b w:val="0"/>
          <w:color w:val="000000" w:themeColor="text1"/>
          <w:kern w:val="2"/>
          <w:sz w:val="21"/>
          <w:szCs w:val="21"/>
          <w:lang w:val="en-US" w:eastAsia="zh-CN" w:bidi="ar-SA"/>
          <w14:textFill>
            <w14:solidFill>
              <w14:schemeClr w14:val="tx1"/>
            </w14:solidFill>
          </w14:textFill>
        </w:rPr>
      </w:pPr>
      <w:r>
        <w:rPr>
          <w:rFonts w:hint="eastAsia" w:ascii="等线" w:hAnsi="等线" w:eastAsia="等线" w:cs="等线"/>
          <w:i w:val="0"/>
          <w:iCs w:val="0"/>
          <w:color w:val="000000" w:themeColor="text1"/>
          <w:kern w:val="2"/>
          <w:sz w:val="21"/>
          <w:szCs w:val="21"/>
          <w:u w:val="none"/>
          <w:lang w:val="en-US" w:eastAsia="zh-CN" w:bidi="ar-SA"/>
          <w14:textFill>
            <w14:solidFill>
              <w14:schemeClr w14:val="tx1"/>
            </w14:solidFill>
          </w14:textFill>
        </w:rPr>
        <w:t>儿童健康服务为儿童涂氟、窝沟封闭（2颗牙齿）或儿童眼科检查三选一；</w:t>
      </w:r>
    </w:p>
    <w:p>
      <w:pPr>
        <w:widowControl/>
        <w:numPr>
          <w:ilvl w:val="0"/>
          <w:numId w:val="1"/>
        </w:numPr>
        <w:spacing w:line="240" w:lineRule="auto"/>
        <w:ind w:left="420" w:hanging="420"/>
        <w:outlineLvl w:val="9"/>
        <w:rPr>
          <w:rFonts w:hint="default" w:ascii="等线" w:hAnsi="等线" w:eastAsia="等线" w:cs="等线"/>
          <w:b w:val="0"/>
          <w:color w:val="000000" w:themeColor="text1"/>
          <w:kern w:val="2"/>
          <w:sz w:val="21"/>
          <w:szCs w:val="21"/>
          <w:lang w:val="en-US" w:eastAsia="zh-CN" w:bidi="ar-SA"/>
          <w14:textFill>
            <w14:solidFill>
              <w14:schemeClr w14:val="tx1"/>
            </w14:solidFill>
          </w14:textFill>
        </w:rPr>
      </w:pPr>
      <w:r>
        <w:rPr>
          <w:rFonts w:hint="eastAsia" w:ascii="等线" w:hAnsi="等线" w:eastAsia="等线" w:cs="等线"/>
          <w:i w:val="0"/>
          <w:iCs w:val="0"/>
          <w:color w:val="000000" w:themeColor="text1"/>
          <w:kern w:val="2"/>
          <w:sz w:val="21"/>
          <w:szCs w:val="21"/>
          <w:u w:val="none"/>
          <w:lang w:val="en-US" w:eastAsia="zh-CN" w:bidi="ar-SA"/>
          <w14:textFill>
            <w14:solidFill>
              <w14:schemeClr w14:val="tx1"/>
            </w14:solidFill>
          </w14:textFill>
        </w:rPr>
        <w:t>四季小药箱服务</w:t>
      </w:r>
      <w:r>
        <w:rPr>
          <w:rFonts w:hint="eastAsia" w:ascii="等线" w:hAnsi="等线" w:eastAsia="等线" w:cs="等线"/>
          <w:color w:val="000000" w:themeColor="text1"/>
          <w:sz w:val="21"/>
          <w:szCs w:val="21"/>
          <w:u w:val="none"/>
          <w:lang w:val="en-US" w:eastAsia="zh-CN"/>
          <w14:textFill>
            <w14:solidFill>
              <w14:schemeClr w14:val="tx1"/>
            </w14:solidFill>
          </w14:textFill>
        </w:rPr>
        <w:t>自客户申请之日起，5个工作日给客户寄送第一个当季小药箱，</w:t>
      </w:r>
      <w:r>
        <w:rPr>
          <w:rFonts w:hint="eastAsia" w:ascii="等线" w:hAnsi="等线" w:eastAsia="等线" w:cs="等线"/>
          <w:b w:val="0"/>
          <w:bCs w:val="0"/>
          <w:color w:val="000000" w:themeColor="text1"/>
          <w:sz w:val="21"/>
          <w:szCs w:val="21"/>
          <w:u w:val="none"/>
          <w:lang w:val="en-US" w:eastAsia="zh-CN"/>
          <w14:textFill>
            <w14:solidFill>
              <w14:schemeClr w14:val="tx1"/>
            </w14:solidFill>
          </w14:textFill>
        </w:rPr>
        <w:t>已选本服务的客户，且每季度初（即2月1日/5月1日/8月1日/11月1日）当日依旧享有有效保单，本服务会在5个工作日内寄出当季小药箱。药品包含当季常用药和保健药。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1707B4"/>
    <w:multiLevelType w:val="singleLevel"/>
    <w:tmpl w:val="691707B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hYWQ1Yjk1MGNmMWJiMjUwMzkwYTBjMDMxMjEyMDcifQ=="/>
  </w:docVars>
  <w:rsids>
    <w:rsidRoot w:val="00D7183C"/>
    <w:rsid w:val="00092A4D"/>
    <w:rsid w:val="00263DB4"/>
    <w:rsid w:val="00272011"/>
    <w:rsid w:val="003B6AA0"/>
    <w:rsid w:val="0040590A"/>
    <w:rsid w:val="004A2B69"/>
    <w:rsid w:val="004C478B"/>
    <w:rsid w:val="005750C2"/>
    <w:rsid w:val="005967E7"/>
    <w:rsid w:val="0064799C"/>
    <w:rsid w:val="00655404"/>
    <w:rsid w:val="00656E50"/>
    <w:rsid w:val="006652FE"/>
    <w:rsid w:val="0083152B"/>
    <w:rsid w:val="008378AF"/>
    <w:rsid w:val="00865FB3"/>
    <w:rsid w:val="00976D80"/>
    <w:rsid w:val="00982A24"/>
    <w:rsid w:val="009D659E"/>
    <w:rsid w:val="009F44DD"/>
    <w:rsid w:val="00A13A49"/>
    <w:rsid w:val="00AC517F"/>
    <w:rsid w:val="00B35A8D"/>
    <w:rsid w:val="00B73CCB"/>
    <w:rsid w:val="00BD5519"/>
    <w:rsid w:val="00C108AB"/>
    <w:rsid w:val="00C20882"/>
    <w:rsid w:val="00C8136D"/>
    <w:rsid w:val="00D7183C"/>
    <w:rsid w:val="00DB3E73"/>
    <w:rsid w:val="00E6663C"/>
    <w:rsid w:val="00EC63A6"/>
    <w:rsid w:val="00F42CD0"/>
    <w:rsid w:val="00F4424E"/>
    <w:rsid w:val="00F95112"/>
    <w:rsid w:val="01B54839"/>
    <w:rsid w:val="031455C3"/>
    <w:rsid w:val="04435660"/>
    <w:rsid w:val="05025E94"/>
    <w:rsid w:val="06120013"/>
    <w:rsid w:val="06C308AA"/>
    <w:rsid w:val="06D663B9"/>
    <w:rsid w:val="06DD10B3"/>
    <w:rsid w:val="078414DB"/>
    <w:rsid w:val="098345B8"/>
    <w:rsid w:val="0A802B03"/>
    <w:rsid w:val="0BC82D14"/>
    <w:rsid w:val="0C897376"/>
    <w:rsid w:val="0CC55021"/>
    <w:rsid w:val="0DFE1124"/>
    <w:rsid w:val="0E45635C"/>
    <w:rsid w:val="0E531C17"/>
    <w:rsid w:val="0EC77947"/>
    <w:rsid w:val="10DB22E8"/>
    <w:rsid w:val="12270D7A"/>
    <w:rsid w:val="12574C65"/>
    <w:rsid w:val="138E17A0"/>
    <w:rsid w:val="13A51A48"/>
    <w:rsid w:val="13BD6742"/>
    <w:rsid w:val="14533EE2"/>
    <w:rsid w:val="147A6BB9"/>
    <w:rsid w:val="14A37726"/>
    <w:rsid w:val="14E87C06"/>
    <w:rsid w:val="15082957"/>
    <w:rsid w:val="154E2EDD"/>
    <w:rsid w:val="16707CD3"/>
    <w:rsid w:val="18AE17EF"/>
    <w:rsid w:val="1A7A0520"/>
    <w:rsid w:val="1ABA4DEF"/>
    <w:rsid w:val="1B835938"/>
    <w:rsid w:val="1DFB3AE1"/>
    <w:rsid w:val="1E6D4C63"/>
    <w:rsid w:val="20153AFA"/>
    <w:rsid w:val="216F0597"/>
    <w:rsid w:val="21F64230"/>
    <w:rsid w:val="22E764A5"/>
    <w:rsid w:val="2309269C"/>
    <w:rsid w:val="2326123B"/>
    <w:rsid w:val="24B27994"/>
    <w:rsid w:val="25B15475"/>
    <w:rsid w:val="260731B5"/>
    <w:rsid w:val="26231FB0"/>
    <w:rsid w:val="26A22F62"/>
    <w:rsid w:val="26F65CB1"/>
    <w:rsid w:val="27A6429D"/>
    <w:rsid w:val="27FE3486"/>
    <w:rsid w:val="284B0656"/>
    <w:rsid w:val="291F7CC6"/>
    <w:rsid w:val="29B84693"/>
    <w:rsid w:val="2A5522F8"/>
    <w:rsid w:val="2A8B0194"/>
    <w:rsid w:val="2CFB35C3"/>
    <w:rsid w:val="2CFC6D3C"/>
    <w:rsid w:val="2DB53015"/>
    <w:rsid w:val="2DFF7B45"/>
    <w:rsid w:val="2EB559D0"/>
    <w:rsid w:val="2F3C791A"/>
    <w:rsid w:val="2FBF62EE"/>
    <w:rsid w:val="302922CB"/>
    <w:rsid w:val="30AE4883"/>
    <w:rsid w:val="30B92C04"/>
    <w:rsid w:val="30C6529A"/>
    <w:rsid w:val="313201E2"/>
    <w:rsid w:val="31C54E4D"/>
    <w:rsid w:val="32770709"/>
    <w:rsid w:val="32B91A7A"/>
    <w:rsid w:val="335B4D4D"/>
    <w:rsid w:val="336C24C7"/>
    <w:rsid w:val="33794369"/>
    <w:rsid w:val="33FF1CD3"/>
    <w:rsid w:val="354D655B"/>
    <w:rsid w:val="35CA3C1C"/>
    <w:rsid w:val="3681277C"/>
    <w:rsid w:val="36B74EFE"/>
    <w:rsid w:val="39592529"/>
    <w:rsid w:val="39763CEA"/>
    <w:rsid w:val="3AD236AC"/>
    <w:rsid w:val="3B1672AC"/>
    <w:rsid w:val="3BE8E8E6"/>
    <w:rsid w:val="3D7C2E11"/>
    <w:rsid w:val="3DA0461E"/>
    <w:rsid w:val="3F7B14FB"/>
    <w:rsid w:val="3F8E6DF0"/>
    <w:rsid w:val="41BA2B0E"/>
    <w:rsid w:val="44C27A7E"/>
    <w:rsid w:val="44F52D73"/>
    <w:rsid w:val="452B429C"/>
    <w:rsid w:val="453B0BF6"/>
    <w:rsid w:val="45E512A3"/>
    <w:rsid w:val="46486C08"/>
    <w:rsid w:val="46681E6B"/>
    <w:rsid w:val="4685487C"/>
    <w:rsid w:val="46FF5273"/>
    <w:rsid w:val="48355CF0"/>
    <w:rsid w:val="496619EF"/>
    <w:rsid w:val="49C32DDE"/>
    <w:rsid w:val="4A421E5C"/>
    <w:rsid w:val="4AF2390B"/>
    <w:rsid w:val="4B031839"/>
    <w:rsid w:val="4B161295"/>
    <w:rsid w:val="4B4076A1"/>
    <w:rsid w:val="4BB6401A"/>
    <w:rsid w:val="4BEB6A76"/>
    <w:rsid w:val="4D681FDB"/>
    <w:rsid w:val="4D7B7EAC"/>
    <w:rsid w:val="4E4A109A"/>
    <w:rsid w:val="4FB275BA"/>
    <w:rsid w:val="50122A99"/>
    <w:rsid w:val="50477919"/>
    <w:rsid w:val="530946E3"/>
    <w:rsid w:val="536D660D"/>
    <w:rsid w:val="53CE6B61"/>
    <w:rsid w:val="53FC0859"/>
    <w:rsid w:val="545967AE"/>
    <w:rsid w:val="54A509DF"/>
    <w:rsid w:val="56D8370E"/>
    <w:rsid w:val="57AD463B"/>
    <w:rsid w:val="57C30A48"/>
    <w:rsid w:val="585D74AB"/>
    <w:rsid w:val="5936098A"/>
    <w:rsid w:val="59D51C94"/>
    <w:rsid w:val="5A937AF0"/>
    <w:rsid w:val="5ADA6BDB"/>
    <w:rsid w:val="5BC915E1"/>
    <w:rsid w:val="5CE71E52"/>
    <w:rsid w:val="5D892E00"/>
    <w:rsid w:val="5E50679E"/>
    <w:rsid w:val="5EB22A03"/>
    <w:rsid w:val="5F3E47E7"/>
    <w:rsid w:val="5F53787C"/>
    <w:rsid w:val="60A25863"/>
    <w:rsid w:val="60CD45AF"/>
    <w:rsid w:val="60F207BD"/>
    <w:rsid w:val="61485D13"/>
    <w:rsid w:val="61AD34B9"/>
    <w:rsid w:val="62657A21"/>
    <w:rsid w:val="645203A2"/>
    <w:rsid w:val="66871E11"/>
    <w:rsid w:val="66CD0542"/>
    <w:rsid w:val="673F5779"/>
    <w:rsid w:val="686A4BF2"/>
    <w:rsid w:val="688C5736"/>
    <w:rsid w:val="68EB01E8"/>
    <w:rsid w:val="6976795A"/>
    <w:rsid w:val="69906C89"/>
    <w:rsid w:val="699F44F4"/>
    <w:rsid w:val="69B80F1A"/>
    <w:rsid w:val="6A3322FD"/>
    <w:rsid w:val="6A920221"/>
    <w:rsid w:val="6A9B53C3"/>
    <w:rsid w:val="6ACD5DDC"/>
    <w:rsid w:val="6AEE117F"/>
    <w:rsid w:val="6AF00B5C"/>
    <w:rsid w:val="6C2B1F50"/>
    <w:rsid w:val="6CA301EA"/>
    <w:rsid w:val="6CE86688"/>
    <w:rsid w:val="6DA33AD9"/>
    <w:rsid w:val="6DDF1EC8"/>
    <w:rsid w:val="6DE5489F"/>
    <w:rsid w:val="6E813F50"/>
    <w:rsid w:val="6F712F86"/>
    <w:rsid w:val="6FB3160C"/>
    <w:rsid w:val="6FE914C8"/>
    <w:rsid w:val="707F60CB"/>
    <w:rsid w:val="71CD0B60"/>
    <w:rsid w:val="73536473"/>
    <w:rsid w:val="73797A9B"/>
    <w:rsid w:val="739D04FC"/>
    <w:rsid w:val="73B31A67"/>
    <w:rsid w:val="745B665E"/>
    <w:rsid w:val="74843EF7"/>
    <w:rsid w:val="75F51EFB"/>
    <w:rsid w:val="76344D56"/>
    <w:rsid w:val="766D11FF"/>
    <w:rsid w:val="76E4179F"/>
    <w:rsid w:val="77864746"/>
    <w:rsid w:val="77BFCAFB"/>
    <w:rsid w:val="77FD7689"/>
    <w:rsid w:val="79953377"/>
    <w:rsid w:val="79D3152E"/>
    <w:rsid w:val="7A005EB7"/>
    <w:rsid w:val="7A1947DF"/>
    <w:rsid w:val="7C2F2D4C"/>
    <w:rsid w:val="7C7BB703"/>
    <w:rsid w:val="7DC303D4"/>
    <w:rsid w:val="7DDF686B"/>
    <w:rsid w:val="7E400F5B"/>
    <w:rsid w:val="7FB55FB3"/>
    <w:rsid w:val="7FFB1E6A"/>
    <w:rsid w:val="CFEF81E1"/>
    <w:rsid w:val="D3D69884"/>
    <w:rsid w:val="DB97E0C7"/>
    <w:rsid w:val="E7FF35D5"/>
    <w:rsid w:val="F6EF9965"/>
    <w:rsid w:val="FCCEA5AC"/>
    <w:rsid w:val="FDEF4569"/>
    <w:rsid w:val="FDFEA3AC"/>
    <w:rsid w:val="FDFF4D19"/>
    <w:rsid w:val="FFFE07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unhideWhenUsed/>
    <w:qFormat/>
    <w:uiPriority w:val="99"/>
    <w:rPr>
      <w:sz w:val="21"/>
      <w:szCs w:val="21"/>
    </w:rPr>
  </w:style>
  <w:style w:type="character" w:customStyle="1" w:styleId="13">
    <w:name w:val="批注框文本 字符"/>
    <w:basedOn w:val="9"/>
    <w:link w:val="3"/>
    <w:autoRedefine/>
    <w:semiHidden/>
    <w:qFormat/>
    <w:uiPriority w:val="99"/>
    <w:rPr>
      <w:rFonts w:ascii="Calibri" w:hAnsi="Calibri" w:eastAsia="微软雅黑" w:cs="Times New Roman"/>
      <w:kern w:val="2"/>
      <w:sz w:val="18"/>
      <w:szCs w:val="18"/>
    </w:rPr>
  </w:style>
  <w:style w:type="character" w:customStyle="1" w:styleId="14">
    <w:name w:val="页眉 字符"/>
    <w:basedOn w:val="9"/>
    <w:link w:val="5"/>
    <w:qFormat/>
    <w:uiPriority w:val="99"/>
    <w:rPr>
      <w:rFonts w:ascii="Calibri" w:hAnsi="Calibri" w:eastAsia="微软雅黑" w:cs="Times New Roman"/>
      <w:kern w:val="2"/>
      <w:sz w:val="18"/>
      <w:szCs w:val="18"/>
    </w:rPr>
  </w:style>
  <w:style w:type="character" w:customStyle="1" w:styleId="15">
    <w:name w:val="页脚 字符"/>
    <w:basedOn w:val="9"/>
    <w:link w:val="4"/>
    <w:qFormat/>
    <w:uiPriority w:val="99"/>
    <w:rPr>
      <w:rFonts w:ascii="Calibri" w:hAnsi="Calibri" w:eastAsia="微软雅黑" w:cs="Times New Roman"/>
      <w:kern w:val="2"/>
      <w:sz w:val="18"/>
      <w:szCs w:val="18"/>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paragraph" w:customStyle="1" w:styleId="18">
    <w:name w:val="Revision"/>
    <w:hidden/>
    <w:semiHidden/>
    <w:qFormat/>
    <w:uiPriority w:val="99"/>
    <w:rPr>
      <w:rFonts w:ascii="Calibri" w:hAnsi="Calibri" w:eastAsia="微软雅黑" w:cs="Times New Roman"/>
      <w:kern w:val="2"/>
      <w:sz w:val="21"/>
      <w:szCs w:val="22"/>
      <w:lang w:val="en-US" w:eastAsia="zh-CN" w:bidi="ar-SA"/>
    </w:rPr>
  </w:style>
  <w:style w:type="paragraph" w:customStyle="1" w:styleId="19">
    <w:name w:val="列出段落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1746</Words>
  <Characters>1838</Characters>
  <Lines>23</Lines>
  <Paragraphs>6</Paragraphs>
  <TotalTime>1</TotalTime>
  <ScaleCrop>false</ScaleCrop>
  <LinksUpToDate>false</LinksUpToDate>
  <CharactersWithSpaces>1838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2022-10-31T08:05:00Z</dcterms:created>
  <dc:creator>wugaojie</dc:creator>
  <cp:lastModifiedBy>1</cp:lastModifiedBy>
  <dcterms:modified xsi:type="dcterms:W3CDTF">2024-06-26T09:50:29Z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5C3F167974734FC69C3CFC6108276D9E_13</vt:lpwstr>
  </property>
</Properties>
</file>